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361F7130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8D6E2A">
        <w:rPr>
          <w:rFonts w:ascii="Comic Sans MS" w:hAnsi="Comic Sans MS"/>
          <w:sz w:val="24"/>
          <w:szCs w:val="24"/>
          <w:u w:val="single"/>
        </w:rPr>
        <w:t>3/16 – 3/20</w:t>
      </w:r>
    </w:p>
    <w:p w14:paraId="3BFD2F13" w14:textId="758187FF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>Brandon, Iyanna</w:t>
      </w:r>
      <w:r w:rsidR="0042314A">
        <w:rPr>
          <w:rFonts w:ascii="Comic Sans MS" w:hAnsi="Comic Sans MS"/>
          <w:sz w:val="20"/>
          <w:szCs w:val="20"/>
        </w:rPr>
        <w:t>h</w:t>
      </w:r>
      <w:bookmarkStart w:id="0" w:name="_GoBack"/>
      <w:bookmarkEnd w:id="0"/>
      <w:r w:rsidR="00403358">
        <w:rPr>
          <w:rFonts w:ascii="Comic Sans MS" w:hAnsi="Comic Sans MS"/>
          <w:sz w:val="20"/>
          <w:szCs w:val="20"/>
        </w:rPr>
        <w:t xml:space="preserve">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5C4BB284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4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92A10AF" w14:textId="4D2054A2" w:rsidR="008D6E2A" w:rsidRPr="00686012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the box for Grades </w:t>
            </w:r>
            <w:r w:rsidR="00CC2AF4" w:rsidRPr="00686012">
              <w:rPr>
                <w:rFonts w:ascii="Comic Sans MS" w:hAnsi="Comic Sans MS"/>
                <w:bCs/>
                <w:sz w:val="18"/>
                <w:szCs w:val="18"/>
              </w:rPr>
              <w:t>3-5</w:t>
            </w:r>
            <w:r w:rsidR="00686012" w:rsidRPr="0068601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F067F19" w14:textId="504C14D3" w:rsidR="008D6E2A" w:rsidRPr="00686012" w:rsidRDefault="00D92C5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 w:rsidR="00686012">
              <w:rPr>
                <w:rFonts w:ascii="Comic Sans MS" w:hAnsi="Comic Sans MS"/>
                <w:bCs/>
                <w:sz w:val="18"/>
                <w:szCs w:val="18"/>
              </w:rPr>
              <w:t xml:space="preserve"> Day 1: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“Nothing Can Stop Her” article.</w:t>
            </w:r>
            <w:r w:rsidR="00686012"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Check out your choices in the box to the left before reading the article. Explore the Continue the Learning Journey videos and activities at the end too!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B8F72A6" w14:textId="7777777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6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592E1C46" w14:textId="77777777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3-5.</w:t>
            </w:r>
          </w:p>
          <w:p w14:paraId="58FF9EB1" w14:textId="3FCE9CA2" w:rsidR="00686012" w:rsidRPr="00686012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Click on 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 xml:space="preserve">Day 2: 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“</w:t>
            </w:r>
            <w:r w:rsidR="00D90187">
              <w:rPr>
                <w:rFonts w:ascii="Comic Sans MS" w:hAnsi="Comic Sans MS"/>
                <w:bCs/>
                <w:sz w:val="18"/>
                <w:szCs w:val="18"/>
              </w:rPr>
              <w:t>Why Do Zebras Have Stripes?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5B0E10D5" w14:textId="6177D067" w:rsidR="001C294F" w:rsidRPr="001C294F" w:rsidRDefault="00686012" w:rsidP="006860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2BB8CD2A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8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6BA37D5A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3-5.</w:t>
            </w:r>
          </w:p>
          <w:p w14:paraId="7A0CCF44" w14:textId="32B20E3E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3: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Cats or Dogs?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1D53529B" w14:textId="5878615B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DFD2656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0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23B4A4DC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3-5.</w:t>
            </w:r>
          </w:p>
          <w:p w14:paraId="642549E3" w14:textId="00EA42D1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4: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Burger Bugs?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251F1B68" w14:textId="05906BA0" w:rsidR="001C294F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6DAAAB21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hyperlink r:id="rId12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www.Scholastic.com/learnathome</w:t>
              </w:r>
            </w:hyperlink>
          </w:p>
          <w:p w14:paraId="4774001B" w14:textId="77777777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 the box for Grades 3-5.</w:t>
            </w:r>
          </w:p>
          <w:p w14:paraId="4834F409" w14:textId="0A6A2399" w:rsidR="005F6DAC" w:rsidRPr="00686012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Click 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Day 5: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“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How Do You Get to School?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>” article. Check out your choices in the box to the left before reading the article. Explore the Continue the Learning Journey videos and activities at the end too!</w:t>
            </w:r>
          </w:p>
          <w:p w14:paraId="59210F98" w14:textId="3282CA26" w:rsidR="00BE78DE" w:rsidRPr="001C294F" w:rsidRDefault="005F6DAC" w:rsidP="005F6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86012"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686012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Pr="0068601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686012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Pr="00686012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2314A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Scholastic.com/learnat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Meagan Hannah</cp:lastModifiedBy>
  <cp:revision>2</cp:revision>
  <cp:lastPrinted>2018-05-15T15:23:00Z</cp:lastPrinted>
  <dcterms:created xsi:type="dcterms:W3CDTF">2020-03-15T19:09:00Z</dcterms:created>
  <dcterms:modified xsi:type="dcterms:W3CDTF">2020-03-15T19:09:00Z</dcterms:modified>
</cp:coreProperties>
</file>